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f8d3f9a118e6ecb85c55c15e1705c34a121df"/>
    <w:p>
      <w:pPr>
        <w:pStyle w:val="Heading3"/>
      </w:pPr>
      <w:r>
        <w:t xml:space="preserve">Число предпринимателей, использующих патент на ремонт квартир, за последние два года выросло более чем в 10 раз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bCs/>
          <w:b/>
        </w:rPr>
        <w:t xml:space="preserve">В Москве с 2014 года более чем в 6 раз выросло число предпринимателей на патенте, которые заняты в сфере ремонта, дизайна и обустройства квартир, сообщает Департамент экономической политики и развития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Наибольший прирост патентов за два года произошел в секторе ремонта жилья — количество приобретенных патентов увеличилось более чем в 10 раз. В 5 раз активнее стали приобретать патенты дизайнеры интерьера, в 7 раз — специалисты по остеклению балконов.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рынок ремонтных и дизайнерских услуг постепенно трансформируется, превращается из стихийного в цивилизованный. В результате выигрывают, прежде всего, потребители, поскольку официальное оформление договорных отношений позволяет контролировать качество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http://butyrsky.mos.ru/presscenter/news/detail/3629135.html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29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29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2025-08-05T14:53:43Z</dcterms:created>
  <dcterms:modified xsi:type="dcterms:W3CDTF">2025-08-05T14:53:43Z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