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235d137f205d12a48f9ce87ed6df217ab74c63"/>
    <w:p>
      <w:pPr>
        <w:pStyle w:val="Heading3"/>
      </w:pPr>
      <w:r>
        <w:t xml:space="preserve">8 июня 2023 года с 12.00-16.00 проводится акция "День открытых дверей для предпринимателей"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drawing>
          <wp:inline>
            <wp:extent cx="5334000" cy="63859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upload/medialibrary/2e3/cjujyu56pb0fxidjuaj9abkovz0p2xkq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3859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98480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utyrsky.mos.ru/www/upload/medialibrary/8c6/ja3dusp4g0kmpryc44au7fcl1k1ufa8d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84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http://butyrsky.mos.ru/presscenter/news/detail/11635294.html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utyrsky.mos.ru" TargetMode="External" /><Relationship Type="http://schemas.openxmlformats.org/officeDocument/2006/relationships/hyperlink" Id="rId26" Target="http://butyrsky.mos.ru/presscenter/news/detail/11635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utyrsky.mos.ru" TargetMode="External" /><Relationship Type="http://schemas.openxmlformats.org/officeDocument/2006/relationships/hyperlink" Id="rId26" Target="http://butyrsky.mos.ru/presscenter/news/detail/11635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2024-08-12T04:07:52Z</dcterms:created>
  <dcterms:modified xsi:type="dcterms:W3CDTF">2024-08-12T04:07:52Z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