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02d1fc25484a375cda7f857b4c6874d892c93"/>
    <w:p>
      <w:pPr>
        <w:pStyle w:val="Heading3"/>
      </w:pPr>
      <w:r>
        <w:t xml:space="preserve">Правила безопасности на воде в летний период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drawing>
          <wp:inline>
            <wp:extent cx="5334000" cy="50579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62a/3a0jpfp74knl3sx7m9aaqkxu5kwftixm/1681185204_3_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57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http://butyrsky.mos.ru/presscenter/news/detail/11611310.html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11611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11611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2025-08-05T14:54:04Z</dcterms:created>
  <dcterms:modified xsi:type="dcterms:W3CDTF">2025-08-05T14:54:04Z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