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ая-информация"/>
    <w:p>
      <w:pPr>
        <w:pStyle w:val="Heading3"/>
      </w:pPr>
      <w:r>
        <w:t xml:space="preserve">Общая информация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t xml:space="preserve">В 2019 году в Бутырском районе запланированы работы по благоустройству: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соответствии с Постановлением Правительства Москвы № 849 от 26 декабря 2012 года «О стимулировании управ районов города Москвы» на 7 дворовых территориях, а так же запланирована замена 33 контейнерных площадок;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22 адресам выполнят ремонт асфальтобетонного покрытия большими картами;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рамках программы «Столичное образование» будет благоустроен 1 объект образования;</w:t>
      </w:r>
    </w:p>
    <w:p>
      <w:pPr>
        <w:pStyle w:val="BodyText"/>
      </w:pPr>
      <w:r>
        <w:t xml:space="preserve">       </w:t>
      </w:r>
      <w:r>
        <w:t xml:space="preserve">ГБОУ школа № 1236 ул Милашенкова, д. 5А (ДОУ)</w:t>
      </w:r>
      <w:r>
        <w:br/>
      </w:r>
      <w:r>
        <w:t xml:space="preserve"> </w:t>
      </w:r>
    </w:p>
    <w:p>
      <w:pPr>
        <w:pStyle w:val="BodyText"/>
      </w:pPr>
      <w:r>
        <w:t xml:space="preserve">- в рамках программы комплексной схемы организации дорожного движения и в целях проведения работ по организации безопасности дорожного движения осуществлена установка регулируемого пешеходного перехода у дома 1 по улице Милашенкова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http://butyrsky.mos.ru/landscaping/two-thousand-nineteen/detail/8189496.html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landscaping/two-thousand-nineteen/detail/8189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landscaping/two-thousand-nineteen/detail/8189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2025-06-23T09:58:14Z</dcterms:created>
  <dcterms:modified xsi:type="dcterms:W3CDTF">2025-06-23T09:58:14Z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