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отчитываемся-о-доходах-за-2024-год"/>
    <w:p>
      <w:pPr>
        <w:pStyle w:val="Heading3"/>
      </w:pPr>
      <w:r>
        <w:t xml:space="preserve">Отчитываемся о доходах за 2024 год</w:t>
      </w:r>
    </w:p>
    <w:p>
      <w:pPr>
        <w:pStyle w:val="FirstParagraph"/>
      </w:pPr>
      <w:r>
        <w:t xml:space="preserve">26.03.2025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http://butyrsky.mos.ru/direction-of-activity/social-sphere/management-of-federal-tax-service-across-moscow-informs/detail/12878337.html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Бутырского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utyrsky.mos.ru" TargetMode="External" /><Relationship Type="http://schemas.openxmlformats.org/officeDocument/2006/relationships/hyperlink" Id="rId20" Target="http://butyrsky.mos.ru/direction-of-activity/social-sphere/management-of-federal-tax-service-across-moscow-informs/detail/128783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utyrsky.mos.ru" TargetMode="External" /><Relationship Type="http://schemas.openxmlformats.org/officeDocument/2006/relationships/hyperlink" Id="rId20" Target="http://butyrsky.mos.ru/direction-of-activity/social-sphere/management-of-federal-tax-service-across-moscow-informs/detail/128783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2025-07-04T23:19:32Z</dcterms:created>
  <dcterms:modified xsi:type="dcterms:W3CDTF">2025-07-04T23:19:32Z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