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cd0a2dbd11260036ec5699b319dd3f7986593"/>
    <w:p>
      <w:pPr>
        <w:pStyle w:val="Heading3"/>
      </w:pPr>
      <w:r>
        <w:t xml:space="preserve">О создании Комиссии по соблюдению требований к служебному поведению гражданских служащих управы Бутырского района города Москвы и соблюдению конфликта интересов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t xml:space="preserve">О создании Комиссии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http://butyrsky.mos.ru/anti-corruption/the-commission-for-observance-of-requirements-for-the-official-behaviour-of-state-civil-employees-of/detail/1029364.html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nti-corruption/the-commission-for-observance-of-requirements-for-the-official-behaviour-of-state-civil-employees-of/detail/102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nti-corruption/the-commission-for-observance-of-requirements-for-the-official-behaviour-of-state-civil-employees-of/detail/102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2024-05-01T18:01:51Z</dcterms:created>
  <dcterms:modified xsi:type="dcterms:W3CDTF">2024-05-01T18:01:51Z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