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0e8db0cfcd8fb06c4a19c51a79c36780c1f3b"/>
    <w:p>
      <w:pPr>
        <w:pStyle w:val="Heading3"/>
      </w:pPr>
      <w:r>
        <w:t xml:space="preserve">Комиссия по служебным спорам управы Бутырского района</w:t>
      </w:r>
    </w:p>
    <w:p>
      <w:pPr>
        <w:pStyle w:val="FirstParagraph"/>
      </w:pPr>
      <w:r>
        <w:t xml:space="preserve">08.05.2014</w:t>
      </w:r>
    </w:p>
    <w:p>
      <w:pPr>
        <w:pStyle w:val="BodyText"/>
      </w:pPr>
      <w:r>
        <w:t xml:space="preserve">Комиссия по служебным спорам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http://butyrsky.mos.ru/anti-corruption/the-commission-for-observance-of-requirements-for-the-official-behaviour-of-state-civil-employees-of/detail/1029345.html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nti-corruption/the-commission-for-observance-of-requirements-for-the-official-behaviour-of-state-civil-employees-of/detail/1029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nti-corruption/the-commission-for-observance-of-requirements-for-the-official-behaviour-of-state-civil-employees-of/detail/1029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2025-06-24T06:11:37Z</dcterms:created>
  <dcterms:modified xsi:type="dcterms:W3CDTF">2025-06-24T06:11:37Z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