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c1fe264b9e6345fc291aef9ab91221628a00ae"/>
    <w:p>
      <w:pPr>
        <w:pStyle w:val="Heading3"/>
      </w:pPr>
      <w:r>
        <w:t xml:space="preserve">Методические материалы Министерства труда по противодействию коррупции</w:t>
      </w:r>
    </w:p>
    <w:p>
      <w:pPr>
        <w:pStyle w:val="FirstParagraph"/>
      </w:pPr>
      <w:r>
        <w:t xml:space="preserve">20.02.2021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материалы Министерства труда по противодействию коррупции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http://butyrsky.mos.ru/anti-corruption/methodical-materials/detail/9731699.html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9731699.html" TargetMode="External" /><Relationship Type="http://schemas.openxmlformats.org/officeDocument/2006/relationships/hyperlink" Id="rId20" Target="https://mintrud.gov.ru/ministry/anticorruption/Method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nti-corruption/methodical-materials/detail/9731699.html" TargetMode="External" /><Relationship Type="http://schemas.openxmlformats.org/officeDocument/2006/relationships/hyperlink" Id="rId20" Target="https://mintrud.gov.ru/ministry/anticorruption/Method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2024-03-25T10:45:55Z</dcterms:created>
  <dcterms:modified xsi:type="dcterms:W3CDTF">2024-03-25T10:45:55Z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