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1fa697315a7da4e16d9a44629f552185341ff3"/>
    <w:p>
      <w:pPr>
        <w:pStyle w:val="Heading3"/>
      </w:pPr>
      <w:r>
        <w:t xml:space="preserve">Министерство труда и социальной защиты Российской Федерации обращает внимание на необходимость соблюдения запрета на дарение и получение подарков.</w:t>
      </w:r>
    </w:p>
    <w:p>
      <w:pPr>
        <w:pStyle w:val="FirstParagraph"/>
      </w:pPr>
      <w:r>
        <w:t xml:space="preserve">31.10.2023</w:t>
      </w:r>
    </w:p>
    <w:p>
      <w:pPr>
        <w:pStyle w:val="BodyText"/>
      </w:pPr>
      <w:r>
        <w:t xml:space="preserve">В связи с предстоящими новогодними и рождественскими праздниками Министерство труда и социальной защиты Российской Федерации обращает внимание на необходимость соблюдения запрета на дарение и получение подарков.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Положения антикоррупционного законодательства и Гражданского кодекса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обязанностей.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Исключением являются, подлежащие сдаче подарки, которые получены в связи с протокольными мероприятиями, со служебными командировками и с другими официальными мероприятиями.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взятка- уголовную ответственность, сообщили в Минтруде.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Должностным лицам необходимо учитывать, вне зависимости от места и времени их поведение должн всецело соответствовать требованиям к служебному поведению, и не допускать поступков, способных вызвать сомнения в их честности и порядочности.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государственного(муниципального, административного) управления, также является нарушением установленного запрета.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Воздерживаться стоит от безвозмездного получения услуг, результатов выполненных работ, поскольку получение подарков в виде любой материальной выгоды должностному лицу запрещено.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http://butyrsky.mos.ru/anti-corruption/methodical-materials/detail/11949390.html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nti-corruption/methodical-materials/detail/119493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nti-corruption/methodical-materials/detail/119493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2024-04-12T04:22:27Z</dcterms:created>
  <dcterms:modified xsi:type="dcterms:W3CDTF">2024-04-12T04:22:27Z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