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d140fdf9fc01d685421448d5f1acdc7fd67c2"/>
    <w:p>
      <w:pPr>
        <w:pStyle w:val="Heading3"/>
      </w:pPr>
      <w:r>
        <w:t xml:space="preserve">Идет голосование на проекте «Активный гражданин»по благоустройству дворов в Бутырском районе</w:t>
      </w:r>
    </w:p>
    <w:p>
      <w:pPr>
        <w:pStyle w:val="FirstParagraph"/>
      </w:pPr>
      <w:r>
        <w:t xml:space="preserve">03.03.2017</w:t>
      </w:r>
    </w:p>
    <w:p>
      <w:pPr>
        <w:pStyle w:val="BodyText"/>
      </w:pPr>
      <w:r>
        <w:t xml:space="preserve">Уже этой весной в столице начнутся работы в рамках большой программы благоустройства дворовых территорий. Они пройдут на средства, полученные, в том числе, от платных парковок. У вас снова есть уникальная возможность принять участие в формировании программы благоустройства и самостоятельно определить объем работ в своем районе. В Бутырском районе планируется провести благоустройство дворовой территории с обустройством детской и спортивной площадок.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http://butyrsky.mos.ru/active-citizens/detail/5122308.html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5122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5122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2025-07-16T02:24:06Z</dcterms:created>
  <dcterms:modified xsi:type="dcterms:W3CDTF">2025-07-16T02:24:06Z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